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0B1" w14:textId="7DB5AD0F" w:rsidR="006978CF" w:rsidRPr="005C0DD9" w:rsidRDefault="002B7A74" w:rsidP="000C4E9F">
      <w:pPr>
        <w:spacing w:after="0" w:line="360" w:lineRule="auto"/>
        <w:jc w:val="both"/>
        <w:rPr>
          <w:rFonts w:ascii="Arial" w:hAnsi="Arial" w:cs="Arial"/>
          <w:b/>
          <w:bCs/>
          <w:color w:val="000000" w:themeColor="text1"/>
          <w:sz w:val="40"/>
          <w:szCs w:val="40"/>
        </w:rPr>
      </w:pPr>
      <w:r>
        <w:rPr>
          <w:rFonts w:ascii="Arial" w:hAnsi="Arial"/>
          <w:sz w:val="40"/>
        </w:rPr>
        <w:t>Nouveau : NOVACAT F 3100 OPTICURVE</w:t>
      </w:r>
    </w:p>
    <w:p w14:paraId="4D5A3D9A" w14:textId="4BFB3362" w:rsidR="004D73A8" w:rsidRDefault="004D73A8" w:rsidP="00EA6D24">
      <w:pPr>
        <w:spacing w:after="0" w:line="360" w:lineRule="auto"/>
        <w:rPr>
          <w:rFonts w:ascii="Arial" w:eastAsia="Times New Roman" w:hAnsi="Arial" w:cs="Arial"/>
          <w:sz w:val="32"/>
          <w:szCs w:val="32"/>
        </w:rPr>
      </w:pPr>
      <w:r>
        <w:rPr>
          <w:rFonts w:ascii="Arial" w:hAnsi="Arial"/>
          <w:sz w:val="32"/>
        </w:rPr>
        <w:t>Faucheuse frontale PÖTTINGER avec déport latéral automatisé en courbe</w:t>
      </w:r>
    </w:p>
    <w:p w14:paraId="77C7CCB7" w14:textId="7648AB67" w:rsidR="00AD1CC3" w:rsidRDefault="0045609B" w:rsidP="000C4E9F">
      <w:pPr>
        <w:spacing w:after="0" w:line="360" w:lineRule="auto"/>
        <w:jc w:val="both"/>
        <w:rPr>
          <w:rFonts w:ascii="Arial" w:hAnsi="Arial"/>
          <w:sz w:val="24"/>
        </w:rPr>
      </w:pPr>
      <w:r>
        <w:rPr>
          <w:rFonts w:ascii="Arial" w:hAnsi="Arial"/>
          <w:sz w:val="24"/>
        </w:rPr>
        <w:t xml:space="preserve">Une fauche en douceur est la base pour un fourrage de haute qualité. Les faucheuses PÖTTINGER répondent à l'exigence de la meilleure adaptation au sol, d'une faible perte de feuilles et d'une précision de travail sans nécessiter des réglages fastidieux. Aujourd'hui, le spécialiste de la récolte et de la fenaison a réussi un nouveau coup avec le déport latéral automatisé en courbe de la NOVACAT F 3100 : </w:t>
      </w:r>
      <w:r w:rsidR="0053081A">
        <w:rPr>
          <w:rFonts w:ascii="Arial" w:hAnsi="Arial"/>
          <w:sz w:val="24"/>
        </w:rPr>
        <w:t>l</w:t>
      </w:r>
      <w:r>
        <w:rPr>
          <w:rFonts w:ascii="Arial" w:hAnsi="Arial"/>
          <w:sz w:val="24"/>
        </w:rPr>
        <w:t>e déport latéral de la faucheuse frontale garantit dans les courbes et dans les pentes un recroisement optimal par rapport à la faucheuse arrière et un déplacement dans une voie sans fourrage. Le déport suivant une ligne courbe permet d'exploiter la largeur de travail totale du lamier et de maximiser celle de la combinaison de fauche. Un déport rectiligne fait perdre plusieurs centimètres.</w:t>
      </w:r>
    </w:p>
    <w:p w14:paraId="458B4F2A" w14:textId="77777777" w:rsidR="0053081A" w:rsidRDefault="0053081A" w:rsidP="000C4E9F">
      <w:pPr>
        <w:spacing w:after="0" w:line="360" w:lineRule="auto"/>
        <w:jc w:val="both"/>
        <w:rPr>
          <w:rFonts w:ascii="Arial" w:hAnsi="Arial" w:cs="Arial"/>
          <w:sz w:val="24"/>
          <w:szCs w:val="24"/>
        </w:rPr>
      </w:pPr>
    </w:p>
    <w:p w14:paraId="5FD556E3" w14:textId="30AEDA6F" w:rsidR="00AD1CC3" w:rsidRPr="00AD1CC3" w:rsidRDefault="00AD1CC3" w:rsidP="000C4E9F">
      <w:pPr>
        <w:spacing w:after="0" w:line="360" w:lineRule="auto"/>
        <w:jc w:val="both"/>
        <w:rPr>
          <w:rFonts w:ascii="Arial" w:hAnsi="Arial" w:cs="Arial"/>
          <w:b/>
          <w:bCs/>
          <w:sz w:val="24"/>
          <w:szCs w:val="24"/>
        </w:rPr>
      </w:pPr>
      <w:r>
        <w:rPr>
          <w:rFonts w:ascii="Arial" w:hAnsi="Arial"/>
          <w:b/>
          <w:sz w:val="24"/>
        </w:rPr>
        <w:t>Coupe propre</w:t>
      </w:r>
    </w:p>
    <w:p w14:paraId="3D48B3F0" w14:textId="0B7B27A0" w:rsidR="00E035C2" w:rsidRDefault="00DB4045" w:rsidP="00E5746A">
      <w:pPr>
        <w:spacing w:after="0" w:line="360" w:lineRule="auto"/>
        <w:jc w:val="both"/>
        <w:rPr>
          <w:rFonts w:ascii="Arial" w:hAnsi="Arial"/>
          <w:sz w:val="24"/>
        </w:rPr>
      </w:pPr>
      <w:r>
        <w:rPr>
          <w:rFonts w:ascii="Arial" w:hAnsi="Arial"/>
          <w:sz w:val="24"/>
        </w:rPr>
        <w:t>Même si le tracteur dérive latéralement dans les virages ou les pentes, grâce au déplacement vers le rayon intérieur du virage, le pneu arrière du tracteur ne roule pas sur le fourrage non fauché. De plus, grâce au recroisement optimal avec la faucheuse arrière, aucun fourrage n'est laissé sur place.</w:t>
      </w:r>
    </w:p>
    <w:p w14:paraId="301407C7" w14:textId="77777777" w:rsidR="0053081A" w:rsidRDefault="0053081A" w:rsidP="00E5746A">
      <w:pPr>
        <w:spacing w:after="0" w:line="360" w:lineRule="auto"/>
        <w:jc w:val="both"/>
        <w:rPr>
          <w:rFonts w:ascii="Arial" w:hAnsi="Arial" w:cs="Arial"/>
          <w:sz w:val="24"/>
          <w:szCs w:val="24"/>
        </w:rPr>
      </w:pPr>
    </w:p>
    <w:p w14:paraId="4693CD27" w14:textId="72B55133" w:rsidR="00F15739" w:rsidRPr="00E5746A" w:rsidRDefault="00F15739" w:rsidP="00E5746A">
      <w:pPr>
        <w:spacing w:after="0" w:line="360" w:lineRule="auto"/>
        <w:jc w:val="both"/>
        <w:rPr>
          <w:rFonts w:ascii="Arial" w:hAnsi="Arial" w:cs="Arial"/>
          <w:b/>
          <w:bCs/>
          <w:sz w:val="24"/>
          <w:szCs w:val="24"/>
        </w:rPr>
      </w:pPr>
      <w:r>
        <w:rPr>
          <w:rFonts w:ascii="Arial" w:hAnsi="Arial"/>
          <w:b/>
          <w:sz w:val="24"/>
        </w:rPr>
        <w:t>Confort</w:t>
      </w:r>
    </w:p>
    <w:p w14:paraId="3E36FB51" w14:textId="30F9054B" w:rsidR="007A4977" w:rsidRDefault="007A4977" w:rsidP="000C4E9F">
      <w:pPr>
        <w:spacing w:after="0" w:line="360" w:lineRule="auto"/>
        <w:jc w:val="both"/>
        <w:rPr>
          <w:rFonts w:ascii="Arial" w:hAnsi="Arial"/>
          <w:sz w:val="24"/>
        </w:rPr>
      </w:pPr>
      <w:r>
        <w:rPr>
          <w:rFonts w:ascii="Arial" w:hAnsi="Arial"/>
          <w:sz w:val="24"/>
        </w:rPr>
        <w:t>Un kit d'automatisation ISOBUS, en option, commande automatiquement la faucheuse en fonction de l'angle de braquage du tracteur ou de la pente vers la droite ou la gauche. Le conducteur ou la conductrice est nettement moins sollicité(e), car aucune intervention n'est nécessaire. Cela se traduit par un confort de travail inégalé.</w:t>
      </w:r>
    </w:p>
    <w:p w14:paraId="0B59BDB9" w14:textId="77777777" w:rsidR="0053081A" w:rsidRDefault="0053081A" w:rsidP="000C4E9F">
      <w:pPr>
        <w:spacing w:after="0" w:line="360" w:lineRule="auto"/>
        <w:jc w:val="both"/>
        <w:rPr>
          <w:rFonts w:ascii="Arial" w:hAnsi="Arial" w:cs="Arial"/>
          <w:sz w:val="24"/>
          <w:szCs w:val="24"/>
        </w:rPr>
      </w:pPr>
    </w:p>
    <w:p w14:paraId="53B81FB0" w14:textId="6A7D0D73" w:rsidR="004D75DB" w:rsidRPr="00D61F36" w:rsidRDefault="004D75DB" w:rsidP="004D75DB">
      <w:pPr>
        <w:spacing w:after="0" w:line="360" w:lineRule="auto"/>
        <w:jc w:val="both"/>
        <w:rPr>
          <w:rFonts w:ascii="Arial" w:hAnsi="Arial" w:cs="Arial"/>
          <w:b/>
          <w:bCs/>
          <w:sz w:val="24"/>
          <w:szCs w:val="24"/>
        </w:rPr>
      </w:pPr>
      <w:r>
        <w:rPr>
          <w:rFonts w:ascii="Arial" w:hAnsi="Arial"/>
          <w:b/>
          <w:sz w:val="24"/>
        </w:rPr>
        <w:t>Avantages spécifiques</w:t>
      </w:r>
    </w:p>
    <w:p w14:paraId="5DECC4C1" w14:textId="5907D2F0" w:rsidR="004D75DB" w:rsidRDefault="007F1976" w:rsidP="004D75DB">
      <w:pPr>
        <w:spacing w:after="0" w:line="360" w:lineRule="auto"/>
        <w:jc w:val="both"/>
        <w:rPr>
          <w:rFonts w:ascii="Arial" w:hAnsi="Arial" w:cs="Arial"/>
          <w:sz w:val="24"/>
          <w:szCs w:val="24"/>
        </w:rPr>
      </w:pPr>
      <w:r>
        <w:rPr>
          <w:rFonts w:ascii="Arial" w:hAnsi="Arial"/>
          <w:sz w:val="24"/>
        </w:rPr>
        <w:t xml:space="preserve">Un avantage particulier de cette nouvelle technique est la possibilité de réagir aux variations du degré de recroisement entre la faucheuse frontale et le tracteur ou la (les) faucheuse(s) arrière et d'automatiser ce processus. Aucun fourrage n'est écrasé, </w:t>
      </w:r>
      <w:r>
        <w:rPr>
          <w:rFonts w:ascii="Arial" w:hAnsi="Arial"/>
          <w:sz w:val="24"/>
        </w:rPr>
        <w:lastRenderedPageBreak/>
        <w:t xml:space="preserve">aucune herbe ne reste sur place, que ce soit en pente ou dans les virages. Les machines de récolte suivantes peuvent travailler sans problème et la coupe qui suit ne comporte pas de résidus de la coupe précédente. Avec le mode automatique, les conducteurs peuvent se concentrer sur la conduite du tracteur et sur leur environnement. Le procédé est également durable : </w:t>
      </w:r>
      <w:r w:rsidR="006B6BD9">
        <w:rPr>
          <w:rFonts w:ascii="Arial" w:hAnsi="Arial"/>
          <w:sz w:val="24"/>
        </w:rPr>
        <w:t>l</w:t>
      </w:r>
      <w:r w:rsidR="006B6BD9" w:rsidRPr="006B6BD9">
        <w:rPr>
          <w:rFonts w:ascii="Arial" w:hAnsi="Arial"/>
          <w:sz w:val="24"/>
        </w:rPr>
        <w:t>a réduction des manœuvres dans les champs et les prairies permet de préserver les sols, d'augmenter l'efficacité grâce au gain de temps et de réduire la charge de travail, car les interventions du chauffeur sont moins fréquentes.</w:t>
      </w:r>
    </w:p>
    <w:p w14:paraId="6E7F4FE3" w14:textId="77777777" w:rsidR="00D61F36" w:rsidRPr="0053081A" w:rsidRDefault="00D61F36" w:rsidP="007F40D7">
      <w:pPr>
        <w:spacing w:line="360" w:lineRule="auto"/>
        <w:jc w:val="both"/>
        <w:rPr>
          <w:rFonts w:ascii="Arial" w:hAnsi="Arial" w:cs="Arial"/>
          <w:b/>
          <w:bCs/>
          <w:sz w:val="24"/>
          <w:szCs w:val="24"/>
        </w:rPr>
      </w:pPr>
    </w:p>
    <w:p w14:paraId="4D41D087" w14:textId="3E079D10" w:rsidR="00CB3940" w:rsidRPr="00CB3940" w:rsidRDefault="007F40D7" w:rsidP="00CB3940">
      <w:pPr>
        <w:spacing w:line="360" w:lineRule="auto"/>
        <w:jc w:val="both"/>
        <w:rPr>
          <w:rFonts w:ascii="Arial" w:hAnsi="Arial" w:cs="Arial"/>
          <w:b/>
          <w:bCs/>
          <w:sz w:val="24"/>
          <w:szCs w:val="24"/>
          <w:lang w:val="de-AT"/>
        </w:rPr>
      </w:pPr>
      <w:r>
        <w:rPr>
          <w:rFonts w:ascii="Arial" w:hAnsi="Arial"/>
          <w:b/>
          <w:sz w:val="24"/>
        </w:rPr>
        <w:t>Aperçu des photos :</w:t>
      </w:r>
    </w:p>
    <w:tbl>
      <w:tblPr>
        <w:tblStyle w:val="Grilledutableau"/>
        <w:tblW w:w="0" w:type="auto"/>
        <w:tblLook w:val="04A0" w:firstRow="1" w:lastRow="0" w:firstColumn="1" w:lastColumn="0" w:noHBand="0" w:noVBand="1"/>
      </w:tblPr>
      <w:tblGrid>
        <w:gridCol w:w="4531"/>
        <w:gridCol w:w="4531"/>
      </w:tblGrid>
      <w:tr w:rsidR="00CB3940" w:rsidRPr="00CB3940" w14:paraId="077201CB" w14:textId="77777777" w:rsidTr="005C2994">
        <w:tc>
          <w:tcPr>
            <w:tcW w:w="4673" w:type="dxa"/>
          </w:tcPr>
          <w:p w14:paraId="70E99A60" w14:textId="77777777" w:rsidR="00CB3940" w:rsidRPr="00CB3940" w:rsidRDefault="00CB3940" w:rsidP="00CB3940">
            <w:pPr>
              <w:spacing w:before="120" w:after="120"/>
              <w:jc w:val="center"/>
              <w:rPr>
                <w:lang w:val="it-IT"/>
              </w:rPr>
            </w:pPr>
            <w:r w:rsidRPr="00CB3940">
              <w:rPr>
                <w:noProof/>
                <w:lang w:val="de-DE"/>
              </w:rPr>
              <w:drawing>
                <wp:inline distT="0" distB="0" distL="0" distR="0" wp14:anchorId="1FFAC3BF" wp14:editId="263E45C7">
                  <wp:extent cx="1563600" cy="1044000"/>
                  <wp:effectExtent l="0" t="0" r="0" b="3810"/>
                  <wp:docPr id="1533158755" name="Grafik 1" descr="Une image contenant herbe, capture d’écran, vert, terrain de j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58755" name="Grafik 1" descr="Une image contenant herbe, capture d’écran, vert, terrain de jeux&#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3600" cy="1044000"/>
                          </a:xfrm>
                          <a:prstGeom prst="rect">
                            <a:avLst/>
                          </a:prstGeom>
                          <a:noFill/>
                          <a:ln>
                            <a:noFill/>
                          </a:ln>
                        </pic:spPr>
                      </pic:pic>
                    </a:graphicData>
                  </a:graphic>
                </wp:inline>
              </w:drawing>
            </w:r>
          </w:p>
        </w:tc>
        <w:tc>
          <w:tcPr>
            <w:tcW w:w="4389" w:type="dxa"/>
          </w:tcPr>
          <w:p w14:paraId="4CD44BF0" w14:textId="77777777" w:rsidR="00CB3940" w:rsidRPr="00CB3940" w:rsidRDefault="00CB3940" w:rsidP="00CB3940">
            <w:pPr>
              <w:spacing w:before="120" w:after="120"/>
              <w:jc w:val="center"/>
              <w:rPr>
                <w:lang w:val="it-IT"/>
              </w:rPr>
            </w:pPr>
            <w:r w:rsidRPr="00CB3940">
              <w:rPr>
                <w:noProof/>
                <w:lang w:val="de-DE"/>
              </w:rPr>
              <w:drawing>
                <wp:inline distT="0" distB="0" distL="0" distR="0" wp14:anchorId="5819BF3B" wp14:editId="7314DA10">
                  <wp:extent cx="1564046" cy="1044000"/>
                  <wp:effectExtent l="0" t="0" r="0" b="3810"/>
                  <wp:docPr id="326670606" name="Grafik 2" descr="Une image contenant herbe, plein air, ciel, trac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70606" name="Grafik 2" descr="Une image contenant herbe, plein air, ciel, tracteur&#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046" cy="1044000"/>
                          </a:xfrm>
                          <a:prstGeom prst="rect">
                            <a:avLst/>
                          </a:prstGeom>
                          <a:noFill/>
                          <a:ln>
                            <a:noFill/>
                          </a:ln>
                        </pic:spPr>
                      </pic:pic>
                    </a:graphicData>
                  </a:graphic>
                </wp:inline>
              </w:drawing>
            </w:r>
          </w:p>
        </w:tc>
      </w:tr>
      <w:tr w:rsidR="00CB3940" w:rsidRPr="00CB3940" w14:paraId="75964742" w14:textId="77777777" w:rsidTr="005C2994">
        <w:tc>
          <w:tcPr>
            <w:tcW w:w="4673" w:type="dxa"/>
          </w:tcPr>
          <w:p w14:paraId="3BBB86CA" w14:textId="77777777" w:rsidR="00CB3940" w:rsidRPr="00CB3940" w:rsidRDefault="00CB3940" w:rsidP="00CB3940">
            <w:pPr>
              <w:shd w:val="clear" w:color="auto" w:fill="FFFFFF"/>
              <w:spacing w:before="120" w:after="120"/>
              <w:jc w:val="center"/>
              <w:outlineLvl w:val="0"/>
              <w:rPr>
                <w:rFonts w:ascii="Arial" w:hAnsi="Arial" w:cs="Arial"/>
                <w:lang w:val="it-IT"/>
              </w:rPr>
            </w:pPr>
            <w:r w:rsidRPr="00CB3940">
              <w:rPr>
                <w:rFonts w:ascii="Arial" w:hAnsi="Arial" w:cs="Arial"/>
                <w:lang w:val="it-IT"/>
              </w:rPr>
              <w:t xml:space="preserve">NOVACAT F 3100 OPTICURVE, </w:t>
            </w:r>
          </w:p>
          <w:p w14:paraId="242EB625" w14:textId="77777777" w:rsidR="00CB3940" w:rsidRPr="00CB3940" w:rsidRDefault="00CB3940" w:rsidP="00CB3940">
            <w:pPr>
              <w:shd w:val="clear" w:color="auto" w:fill="FFFFFF"/>
              <w:spacing w:before="120" w:after="120"/>
              <w:jc w:val="center"/>
              <w:outlineLvl w:val="0"/>
              <w:rPr>
                <w:rFonts w:ascii="Arial" w:hAnsi="Arial" w:cs="Arial"/>
                <w:lang w:val="it-IT"/>
              </w:rPr>
            </w:pPr>
            <w:r w:rsidRPr="00CB3940">
              <w:rPr>
                <w:rFonts w:ascii="Arial" w:hAnsi="Arial" w:cs="Arial"/>
                <w:lang w:val="it-IT"/>
              </w:rPr>
              <w:t>NOVACAT H 11200</w:t>
            </w:r>
          </w:p>
        </w:tc>
        <w:tc>
          <w:tcPr>
            <w:tcW w:w="4389" w:type="dxa"/>
          </w:tcPr>
          <w:p w14:paraId="2F0E7D36" w14:textId="77777777" w:rsidR="00CB3940" w:rsidRPr="00CB3940" w:rsidRDefault="00CB3940" w:rsidP="00CB3940">
            <w:pPr>
              <w:shd w:val="clear" w:color="auto" w:fill="FFFFFF"/>
              <w:spacing w:before="120" w:after="120"/>
              <w:jc w:val="center"/>
              <w:outlineLvl w:val="0"/>
              <w:rPr>
                <w:rFonts w:ascii="Arial" w:hAnsi="Arial" w:cs="Arial"/>
                <w:lang w:val="it-IT"/>
              </w:rPr>
            </w:pPr>
            <w:r w:rsidRPr="00CB3940">
              <w:rPr>
                <w:rFonts w:ascii="Arial" w:hAnsi="Arial" w:cs="Arial"/>
                <w:lang w:val="it-IT"/>
              </w:rPr>
              <w:t xml:space="preserve">NOVACAT F 3100 OPTICURVE, </w:t>
            </w:r>
          </w:p>
          <w:p w14:paraId="59E65D4D" w14:textId="77777777" w:rsidR="00CB3940" w:rsidRPr="00CB3940" w:rsidRDefault="00CB3940" w:rsidP="00CB3940">
            <w:pPr>
              <w:shd w:val="clear" w:color="auto" w:fill="FFFFFF"/>
              <w:spacing w:before="120" w:after="120"/>
              <w:jc w:val="center"/>
              <w:outlineLvl w:val="0"/>
              <w:rPr>
                <w:rFonts w:ascii="Arial" w:hAnsi="Arial" w:cs="Arial"/>
                <w:lang w:val="it-IT"/>
              </w:rPr>
            </w:pPr>
            <w:r w:rsidRPr="00CB3940">
              <w:rPr>
                <w:rFonts w:ascii="Arial" w:hAnsi="Arial" w:cs="Arial"/>
                <w:lang w:val="it-IT"/>
              </w:rPr>
              <w:t>NOVACAT H 11200</w:t>
            </w:r>
          </w:p>
        </w:tc>
      </w:tr>
      <w:tr w:rsidR="00CB3940" w:rsidRPr="00CB3940" w14:paraId="30CC131C" w14:textId="77777777" w:rsidTr="005C2994">
        <w:tc>
          <w:tcPr>
            <w:tcW w:w="4673" w:type="dxa"/>
          </w:tcPr>
          <w:p w14:paraId="2138AB96" w14:textId="5AC5F5DA" w:rsidR="00CB3940" w:rsidRPr="006B6BD9" w:rsidRDefault="006B6BD9" w:rsidP="00CB3940">
            <w:pPr>
              <w:spacing w:before="120" w:after="120"/>
              <w:jc w:val="center"/>
              <w:rPr>
                <w:rFonts w:ascii="Arial" w:hAnsi="Arial" w:cs="Arial"/>
              </w:rPr>
            </w:pPr>
            <w:hyperlink r:id="rId12" w:history="1">
              <w:r w:rsidR="00CB3940" w:rsidRPr="006B6BD9">
                <w:rPr>
                  <w:rStyle w:val="Lienhypertexte"/>
                  <w:rFonts w:ascii="Arial" w:hAnsi="Arial" w:cs="Arial"/>
                </w:rPr>
                <w:t>https://www.poettinger.at/fr_fr/newsroom/pressebild/135624</w:t>
              </w:r>
            </w:hyperlink>
            <w:r w:rsidR="00CB3940" w:rsidRPr="006B6BD9">
              <w:rPr>
                <w:rFonts w:ascii="Arial" w:hAnsi="Arial" w:cs="Arial"/>
              </w:rPr>
              <w:t xml:space="preserve"> </w:t>
            </w:r>
          </w:p>
        </w:tc>
        <w:tc>
          <w:tcPr>
            <w:tcW w:w="4389" w:type="dxa"/>
          </w:tcPr>
          <w:p w14:paraId="161B4FAB" w14:textId="112EE0B4" w:rsidR="00CB3940" w:rsidRPr="006B6BD9" w:rsidRDefault="006B6BD9" w:rsidP="00CB3940">
            <w:pPr>
              <w:spacing w:before="120" w:after="120"/>
              <w:jc w:val="center"/>
              <w:rPr>
                <w:rFonts w:ascii="Arial" w:hAnsi="Arial" w:cs="Arial"/>
                <w:bCs/>
              </w:rPr>
            </w:pPr>
            <w:hyperlink r:id="rId13" w:history="1">
              <w:r w:rsidR="00CB3940" w:rsidRPr="006B6BD9">
                <w:rPr>
                  <w:rStyle w:val="Lienhypertexte"/>
                  <w:rFonts w:ascii="Arial" w:hAnsi="Arial" w:cs="Arial"/>
                </w:rPr>
                <w:t>https://www.poettinger.at/fr_fr/newsroom/pressebild/135622</w:t>
              </w:r>
            </w:hyperlink>
            <w:r w:rsidR="00CB3940" w:rsidRPr="006B6BD9">
              <w:rPr>
                <w:rFonts w:ascii="Arial" w:hAnsi="Arial" w:cs="Arial"/>
              </w:rPr>
              <w:t xml:space="preserve"> </w:t>
            </w:r>
          </w:p>
        </w:tc>
      </w:tr>
    </w:tbl>
    <w:p w14:paraId="4ADE7318" w14:textId="77777777" w:rsidR="00D935E4" w:rsidRPr="006B6BD9" w:rsidRDefault="00D935E4" w:rsidP="003F1E7D">
      <w:pPr>
        <w:widowControl w:val="0"/>
        <w:autoSpaceDE w:val="0"/>
        <w:autoSpaceDN w:val="0"/>
        <w:adjustRightInd w:val="0"/>
        <w:spacing w:line="360" w:lineRule="auto"/>
        <w:jc w:val="both"/>
        <w:rPr>
          <w:rFonts w:ascii="Arial" w:hAnsi="Arial" w:cs="Arial"/>
          <w:snapToGrid w:val="0"/>
          <w:color w:val="000000"/>
          <w:lang w:eastAsia="de-DE"/>
        </w:rPr>
      </w:pPr>
    </w:p>
    <w:p w14:paraId="324113DC" w14:textId="4E5C6D6B" w:rsidR="004A6F02" w:rsidRPr="003F1E7D" w:rsidRDefault="00766AE3" w:rsidP="003F1E7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4" w:history="1">
        <w:r>
          <w:rPr>
            <w:rStyle w:val="Lienhypertexte"/>
            <w:rFonts w:ascii="Arial" w:hAnsi="Arial"/>
            <w:snapToGrid w:val="0"/>
          </w:rPr>
          <w:t>https://www.poettinger.at/fr_fr/services/downloadcenter</w:t>
        </w:r>
      </w:hyperlink>
    </w:p>
    <w:sectPr w:rsidR="004A6F02" w:rsidRPr="003F1E7D">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AA34" w14:textId="77777777" w:rsidR="00DA1122" w:rsidRDefault="00DA1122" w:rsidP="004311A1">
      <w:pPr>
        <w:spacing w:after="0" w:line="240" w:lineRule="auto"/>
      </w:pPr>
      <w:r>
        <w:separator/>
      </w:r>
    </w:p>
  </w:endnote>
  <w:endnote w:type="continuationSeparator" w:id="0">
    <w:p w14:paraId="520227FD" w14:textId="77777777" w:rsidR="00DA1122" w:rsidRDefault="00DA1122" w:rsidP="004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53081A" w:rsidRDefault="004311A1" w:rsidP="004311A1">
    <w:pPr>
      <w:spacing w:after="0" w:line="240" w:lineRule="auto"/>
      <w:rPr>
        <w:rFonts w:ascii="Arial" w:hAnsi="Arial" w:cs="Arial"/>
        <w:b/>
        <w:sz w:val="20"/>
        <w:szCs w:val="20"/>
        <w:lang w:val="de-DE"/>
      </w:rPr>
    </w:pPr>
    <w:r w:rsidRPr="0053081A">
      <w:rPr>
        <w:rFonts w:ascii="Arial" w:hAnsi="Arial"/>
        <w:b/>
        <w:sz w:val="20"/>
        <w:lang w:val="de-DE"/>
      </w:rPr>
      <w:t xml:space="preserve">PÖTTINGER Landtechnik GmbH – </w:t>
    </w:r>
    <w:r w:rsidRPr="0053081A">
      <w:rPr>
        <w:rFonts w:ascii="Arial" w:hAnsi="Arial"/>
        <w:sz w:val="20"/>
        <w:lang w:val="de-DE"/>
      </w:rPr>
      <w:t>Communication d'entreprise</w:t>
    </w:r>
  </w:p>
  <w:p w14:paraId="33B2577E" w14:textId="77777777" w:rsidR="004311A1" w:rsidRPr="0053081A" w:rsidRDefault="004311A1" w:rsidP="004311A1">
    <w:pPr>
      <w:spacing w:after="0" w:line="240" w:lineRule="auto"/>
      <w:rPr>
        <w:rFonts w:ascii="Arial" w:hAnsi="Arial" w:cs="Arial"/>
        <w:sz w:val="20"/>
        <w:szCs w:val="20"/>
        <w:lang w:val="de-DE"/>
      </w:rPr>
    </w:pPr>
    <w:r w:rsidRPr="0053081A">
      <w:rPr>
        <w:rFonts w:ascii="Arial" w:hAnsi="Arial"/>
        <w:sz w:val="20"/>
        <w:lang w:val="de-DE"/>
      </w:rPr>
      <w:t>Inge Steibl, Industriegelände 1, AT-4710 Grieskirchen</w:t>
    </w:r>
  </w:p>
  <w:p w14:paraId="21B2AF5C" w14:textId="5BD34A3F" w:rsidR="004311A1" w:rsidRDefault="004311A1" w:rsidP="004311A1">
    <w:pPr>
      <w:pStyle w:val="Pieddepage"/>
    </w:pPr>
    <w:r>
      <w:rPr>
        <w:rFonts w:ascii="Arial" w:hAnsi="Arial"/>
        <w:sz w:val="20"/>
      </w:rPr>
      <w:t xml:space="preserve">Tél. +43 7248 600-2415, e-mail :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2179" w14:textId="77777777" w:rsidR="00DA1122" w:rsidRDefault="00DA1122" w:rsidP="004311A1">
      <w:pPr>
        <w:spacing w:after="0" w:line="240" w:lineRule="auto"/>
      </w:pPr>
      <w:r>
        <w:separator/>
      </w:r>
    </w:p>
  </w:footnote>
  <w:footnote w:type="continuationSeparator" w:id="0">
    <w:p w14:paraId="1AA77E0F" w14:textId="77777777" w:rsidR="00DA1122" w:rsidRDefault="00DA1122" w:rsidP="0043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En-tte"/>
    </w:pPr>
    <w:r>
      <w:rPr>
        <w:rFonts w:ascii="Arial" w:hAnsi="Arial"/>
        <w:b/>
        <w:noProof/>
        <w:sz w:val="24"/>
      </w:rPr>
      <w:drawing>
        <wp:anchor distT="0" distB="0" distL="114300" distR="114300" simplePos="0" relativeHeight="251659264"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En-tte"/>
      <w:rPr>
        <w:rFonts w:ascii="Arial" w:hAnsi="Arial" w:cs="Arial"/>
        <w:b/>
        <w:bCs/>
        <w:sz w:val="24"/>
        <w:szCs w:val="24"/>
      </w:rPr>
    </w:pPr>
    <w:r>
      <w:rPr>
        <w:rFonts w:ascii="Arial" w:hAnsi="Arial"/>
        <w:b/>
        <w:sz w:val="24"/>
      </w:rPr>
      <w:t>Communiqué de presse</w:t>
    </w:r>
  </w:p>
  <w:p w14:paraId="10D94F97" w14:textId="77777777" w:rsidR="001F6352" w:rsidRDefault="001F6352">
    <w:pPr>
      <w:pStyle w:val="En-tte"/>
      <w:rPr>
        <w:rFonts w:ascii="Arial" w:hAnsi="Arial" w:cs="Arial"/>
        <w:b/>
        <w:bCs/>
        <w:sz w:val="24"/>
        <w:szCs w:val="24"/>
      </w:rPr>
    </w:pPr>
  </w:p>
  <w:p w14:paraId="3408B22E" w14:textId="77777777" w:rsidR="001F6352" w:rsidRPr="001F6352" w:rsidRDefault="001F6352">
    <w:pPr>
      <w:pStyle w:val="En-tte"/>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1F40"/>
    <w:rsid w:val="0004678F"/>
    <w:rsid w:val="00051C90"/>
    <w:rsid w:val="000635D3"/>
    <w:rsid w:val="000743B9"/>
    <w:rsid w:val="00093872"/>
    <w:rsid w:val="000938A3"/>
    <w:rsid w:val="000C4E9F"/>
    <w:rsid w:val="000C760A"/>
    <w:rsid w:val="000D2540"/>
    <w:rsid w:val="000E5D13"/>
    <w:rsid w:val="00122927"/>
    <w:rsid w:val="00135112"/>
    <w:rsid w:val="0015146E"/>
    <w:rsid w:val="00195E70"/>
    <w:rsid w:val="001D60BA"/>
    <w:rsid w:val="001E51C9"/>
    <w:rsid w:val="001E56D5"/>
    <w:rsid w:val="001F02A9"/>
    <w:rsid w:val="001F6352"/>
    <w:rsid w:val="002026E8"/>
    <w:rsid w:val="00234361"/>
    <w:rsid w:val="00244777"/>
    <w:rsid w:val="00275A1F"/>
    <w:rsid w:val="002B7A74"/>
    <w:rsid w:val="002C2443"/>
    <w:rsid w:val="002D6C7B"/>
    <w:rsid w:val="00322C5F"/>
    <w:rsid w:val="003D2773"/>
    <w:rsid w:val="003E6583"/>
    <w:rsid w:val="003F1E7D"/>
    <w:rsid w:val="004026CA"/>
    <w:rsid w:val="00410B87"/>
    <w:rsid w:val="004311A1"/>
    <w:rsid w:val="00432C24"/>
    <w:rsid w:val="0045609B"/>
    <w:rsid w:val="00460DC6"/>
    <w:rsid w:val="00470447"/>
    <w:rsid w:val="004866AE"/>
    <w:rsid w:val="004927FC"/>
    <w:rsid w:val="004933D0"/>
    <w:rsid w:val="00496ED0"/>
    <w:rsid w:val="004A6F02"/>
    <w:rsid w:val="004D73A8"/>
    <w:rsid w:val="004D75DB"/>
    <w:rsid w:val="005202DD"/>
    <w:rsid w:val="0052173B"/>
    <w:rsid w:val="0052408A"/>
    <w:rsid w:val="0053081A"/>
    <w:rsid w:val="00533AB7"/>
    <w:rsid w:val="00542BD9"/>
    <w:rsid w:val="005466E4"/>
    <w:rsid w:val="00553636"/>
    <w:rsid w:val="00554CCF"/>
    <w:rsid w:val="00564A51"/>
    <w:rsid w:val="005653E9"/>
    <w:rsid w:val="005C0DD9"/>
    <w:rsid w:val="005D2ACE"/>
    <w:rsid w:val="0060543B"/>
    <w:rsid w:val="00622EEF"/>
    <w:rsid w:val="006264AB"/>
    <w:rsid w:val="006408B1"/>
    <w:rsid w:val="00683216"/>
    <w:rsid w:val="006B6BD9"/>
    <w:rsid w:val="006D2CD1"/>
    <w:rsid w:val="00707232"/>
    <w:rsid w:val="007269F6"/>
    <w:rsid w:val="00735CFD"/>
    <w:rsid w:val="00766AE3"/>
    <w:rsid w:val="00771288"/>
    <w:rsid w:val="00780B92"/>
    <w:rsid w:val="007A4977"/>
    <w:rsid w:val="007B7B14"/>
    <w:rsid w:val="007D4B94"/>
    <w:rsid w:val="007E04C8"/>
    <w:rsid w:val="007F1976"/>
    <w:rsid w:val="007F3F52"/>
    <w:rsid w:val="007F40D7"/>
    <w:rsid w:val="008165CB"/>
    <w:rsid w:val="00832216"/>
    <w:rsid w:val="00847269"/>
    <w:rsid w:val="00850795"/>
    <w:rsid w:val="008C7810"/>
    <w:rsid w:val="008D31CB"/>
    <w:rsid w:val="0090717E"/>
    <w:rsid w:val="00930673"/>
    <w:rsid w:val="00984FE0"/>
    <w:rsid w:val="009875CF"/>
    <w:rsid w:val="009A1CB6"/>
    <w:rsid w:val="009C2C02"/>
    <w:rsid w:val="00A0655A"/>
    <w:rsid w:val="00A46B16"/>
    <w:rsid w:val="00A55D7E"/>
    <w:rsid w:val="00A90BE0"/>
    <w:rsid w:val="00AA51CF"/>
    <w:rsid w:val="00AB5426"/>
    <w:rsid w:val="00AC60E9"/>
    <w:rsid w:val="00AC6472"/>
    <w:rsid w:val="00AD1CC3"/>
    <w:rsid w:val="00AD79CA"/>
    <w:rsid w:val="00B0119B"/>
    <w:rsid w:val="00B1589C"/>
    <w:rsid w:val="00B51809"/>
    <w:rsid w:val="00B73557"/>
    <w:rsid w:val="00B869C1"/>
    <w:rsid w:val="00B877BE"/>
    <w:rsid w:val="00B94822"/>
    <w:rsid w:val="00BA58AA"/>
    <w:rsid w:val="00BB14A2"/>
    <w:rsid w:val="00BE71B9"/>
    <w:rsid w:val="00C046A4"/>
    <w:rsid w:val="00C075A9"/>
    <w:rsid w:val="00C21A4F"/>
    <w:rsid w:val="00C6785C"/>
    <w:rsid w:val="00C77D01"/>
    <w:rsid w:val="00C82AC1"/>
    <w:rsid w:val="00C9208A"/>
    <w:rsid w:val="00C92E82"/>
    <w:rsid w:val="00CA7D59"/>
    <w:rsid w:val="00CB3940"/>
    <w:rsid w:val="00CC7BA7"/>
    <w:rsid w:val="00CD4E4E"/>
    <w:rsid w:val="00CD5275"/>
    <w:rsid w:val="00CF3337"/>
    <w:rsid w:val="00CF3A8F"/>
    <w:rsid w:val="00D049D2"/>
    <w:rsid w:val="00D14975"/>
    <w:rsid w:val="00D16460"/>
    <w:rsid w:val="00D32104"/>
    <w:rsid w:val="00D37433"/>
    <w:rsid w:val="00D56E7B"/>
    <w:rsid w:val="00D61F36"/>
    <w:rsid w:val="00D85F90"/>
    <w:rsid w:val="00D9117D"/>
    <w:rsid w:val="00D935E4"/>
    <w:rsid w:val="00DA1122"/>
    <w:rsid w:val="00DB4045"/>
    <w:rsid w:val="00DC196E"/>
    <w:rsid w:val="00DD7DFB"/>
    <w:rsid w:val="00DE1DD2"/>
    <w:rsid w:val="00E02E93"/>
    <w:rsid w:val="00E035C2"/>
    <w:rsid w:val="00E36FDD"/>
    <w:rsid w:val="00E4555B"/>
    <w:rsid w:val="00E52C0B"/>
    <w:rsid w:val="00E5702A"/>
    <w:rsid w:val="00E5746A"/>
    <w:rsid w:val="00E80AB5"/>
    <w:rsid w:val="00E93BB3"/>
    <w:rsid w:val="00EA6D24"/>
    <w:rsid w:val="00EB4EC2"/>
    <w:rsid w:val="00EF7029"/>
    <w:rsid w:val="00F0254F"/>
    <w:rsid w:val="00F07839"/>
    <w:rsid w:val="00F132D0"/>
    <w:rsid w:val="00F15739"/>
    <w:rsid w:val="00F1687B"/>
    <w:rsid w:val="00F25F5A"/>
    <w:rsid w:val="00F26368"/>
    <w:rsid w:val="00F32E36"/>
    <w:rsid w:val="00F37FD7"/>
    <w:rsid w:val="00FA039F"/>
    <w:rsid w:val="00FA6FCA"/>
    <w:rsid w:val="00FB2306"/>
    <w:rsid w:val="00FC6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4311A1"/>
    <w:pPr>
      <w:tabs>
        <w:tab w:val="center" w:pos="4536"/>
        <w:tab w:val="right" w:pos="9072"/>
      </w:tabs>
      <w:spacing w:after="0" w:line="240" w:lineRule="auto"/>
    </w:pPr>
  </w:style>
  <w:style w:type="character" w:customStyle="1" w:styleId="En-tteCar">
    <w:name w:val="En-tête Car"/>
    <w:basedOn w:val="Policepardfaut"/>
    <w:link w:val="En-tte"/>
    <w:uiPriority w:val="99"/>
    <w:rsid w:val="004311A1"/>
  </w:style>
  <w:style w:type="paragraph" w:styleId="Pieddepage">
    <w:name w:val="footer"/>
    <w:basedOn w:val="Normal"/>
    <w:link w:val="PieddepageCar"/>
    <w:uiPriority w:val="99"/>
    <w:unhideWhenUsed/>
    <w:rsid w:val="00431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A1"/>
  </w:style>
  <w:style w:type="paragraph" w:styleId="Commentaire">
    <w:name w:val="annotation text"/>
    <w:basedOn w:val="Normal"/>
    <w:link w:val="CommentaireCar"/>
    <w:uiPriority w:val="99"/>
    <w:unhideWhenUsed/>
    <w:rsid w:val="004311A1"/>
    <w:pPr>
      <w:spacing w:line="240" w:lineRule="auto"/>
    </w:pPr>
    <w:rPr>
      <w:sz w:val="20"/>
      <w:szCs w:val="20"/>
    </w:rPr>
  </w:style>
  <w:style w:type="character" w:customStyle="1" w:styleId="CommentaireCar">
    <w:name w:val="Commentaire Car"/>
    <w:basedOn w:val="Policepardfaut"/>
    <w:link w:val="Commentaire"/>
    <w:uiPriority w:val="99"/>
    <w:rsid w:val="004311A1"/>
    <w:rPr>
      <w:sz w:val="20"/>
      <w:szCs w:val="20"/>
    </w:rPr>
  </w:style>
  <w:style w:type="table" w:styleId="Grilledutableau">
    <w:name w:val="Table Grid"/>
    <w:basedOn w:val="TableauNormal"/>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66AE3"/>
    <w:rPr>
      <w:color w:val="0000FF"/>
      <w:u w:val="single"/>
    </w:rPr>
  </w:style>
  <w:style w:type="character" w:styleId="Mentionnonrsolue">
    <w:name w:val="Unresolved Mention"/>
    <w:basedOn w:val="Policepardfaut"/>
    <w:uiPriority w:val="99"/>
    <w:semiHidden/>
    <w:unhideWhenUsed/>
    <w:rsid w:val="008D31CB"/>
    <w:rPr>
      <w:color w:val="605E5C"/>
      <w:shd w:val="clear" w:color="auto" w:fill="E1DFDD"/>
    </w:rPr>
  </w:style>
  <w:style w:type="character" w:styleId="Marquedecommentaire">
    <w:name w:val="annotation reference"/>
    <w:basedOn w:val="Policepardfaut"/>
    <w:uiPriority w:val="99"/>
    <w:semiHidden/>
    <w:unhideWhenUsed/>
    <w:rsid w:val="00F0254F"/>
    <w:rPr>
      <w:sz w:val="16"/>
      <w:szCs w:val="16"/>
    </w:rPr>
  </w:style>
  <w:style w:type="paragraph" w:styleId="Objetducommentaire">
    <w:name w:val="annotation subject"/>
    <w:basedOn w:val="Commentaire"/>
    <w:next w:val="Commentaire"/>
    <w:link w:val="ObjetducommentaireCar"/>
    <w:uiPriority w:val="99"/>
    <w:semiHidden/>
    <w:unhideWhenUsed/>
    <w:rsid w:val="00F0254F"/>
    <w:rPr>
      <w:b/>
      <w:bCs/>
    </w:rPr>
  </w:style>
  <w:style w:type="character" w:customStyle="1" w:styleId="ObjetducommentaireCar">
    <w:name w:val="Objet du commentaire Car"/>
    <w:basedOn w:val="CommentaireCar"/>
    <w:link w:val="Objetducommentaire"/>
    <w:uiPriority w:val="99"/>
    <w:semiHidden/>
    <w:rsid w:val="00F0254F"/>
    <w:rPr>
      <w:b/>
      <w:bCs/>
      <w:sz w:val="20"/>
      <w:szCs w:val="20"/>
    </w:rPr>
  </w:style>
  <w:style w:type="character" w:styleId="Lienhypertextesuivivisit">
    <w:name w:val="FollowedHyperlink"/>
    <w:basedOn w:val="Policepardfaut"/>
    <w:uiPriority w:val="99"/>
    <w:semiHidden/>
    <w:unhideWhenUsed/>
    <w:rsid w:val="00FA0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356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356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433CF-E097-4A40-A2B4-7F619A8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80C21-E010-4D82-91C0-BE7068209749}">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467F45B3-58CA-41E1-8B02-F70B65605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2566</Characters>
  <Application>Microsoft Office Word</Application>
  <DocSecurity>0</DocSecurity>
  <Lines>21</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NOVACAT F 310 OPTICURVE</vt: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F 310 OPTICURVE</dc:title>
  <dc:subject/>
  <dc:creator>Inge Steibl</dc:creator>
  <cp:keywords/>
  <dc:description/>
  <cp:lastModifiedBy>Dutter Dorothee</cp:lastModifiedBy>
  <cp:revision>14</cp:revision>
  <cp:lastPrinted>2023-08-09T07:42:00Z</cp:lastPrinted>
  <dcterms:created xsi:type="dcterms:W3CDTF">2023-10-31T07:54:00Z</dcterms:created>
  <dcterms:modified xsi:type="dcterms:W3CDTF">2024-06-19T09:04:00Z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